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61" w:rsidRPr="00F93261" w:rsidRDefault="00F93261" w:rsidP="00F932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1114"/>
          <w:kern w:val="36"/>
          <w:sz w:val="48"/>
          <w:szCs w:val="48"/>
          <w:lang w:eastAsia="ru-RU"/>
        </w:rPr>
      </w:pPr>
      <w:r w:rsidRPr="00F93261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Регламент и сроки технического обслуживания огнетушителей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руководителя организации по обеспечению наличия и исправности огнетушителей, соблюдения сроков периодичности их осмотра и проверки, а также своевременной перезарядки огнетушителей закреплена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п.478 Правил противопожарного режима в РФ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(ППР).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обслуживание огнетушителей регламентируется Сводом правил </w:t>
      </w:r>
      <w:hyperlink r:id="rId5" w:history="1">
        <w:r w:rsidRPr="00F93261">
          <w:rPr>
            <w:rFonts w:ascii="Arial" w:eastAsia="Times New Roman" w:hAnsi="Arial" w:cs="Arial"/>
            <w:i/>
            <w:iCs/>
            <w:color w:val="FF1114"/>
            <w:sz w:val="24"/>
            <w:szCs w:val="24"/>
            <w:u w:val="single"/>
            <w:lang w:eastAsia="ru-RU"/>
          </w:rPr>
          <w:t>СП 9.13130.2009</w:t>
        </w:r>
      </w:hyperlink>
      <w:r w:rsidRPr="00F9326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«Техника пожарная. Огнетушители. Требования к эксплуатации»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Огнетушители, введенные в эксплуатацию, должны подвергаться техническому обслуживанию,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обслуживание огнетушителей должно проводиться в соответствии с инструкцией по эксплуатации и с использованием необходимых инструментов и материалов </w:t>
      </w:r>
      <w:hyperlink r:id="rId6" w:history="1">
        <w:r w:rsidRPr="00F93261">
          <w:rPr>
            <w:rFonts w:ascii="Arial" w:eastAsia="Times New Roman" w:hAnsi="Arial" w:cs="Arial"/>
            <w:b/>
            <w:bCs/>
            <w:color w:val="FF1114"/>
            <w:sz w:val="24"/>
            <w:szCs w:val="24"/>
            <w:u w:val="single"/>
            <w:lang w:eastAsia="ru-RU"/>
          </w:rPr>
          <w:t>лицом, назначенным приказом</w:t>
        </w:r>
      </w:hyperlink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по предприятию или организации, прошедшим в установленном порядке проверку знаний нормативно-технических документов по устройству и эксплуатации огнетушителей и параметрам </w:t>
      </w:r>
      <w:proofErr w:type="gramStart"/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</w:t>
      </w:r>
      <w:proofErr w:type="gramEnd"/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способным самостоятельно проводить необходимый объем работ по обслуживанию огнетушителей.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обслуживание включает в себя периодические проверки, осмотры, ремонт, испытания и перезарядку огнетушителей.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Ввод огнетушителя в эксплуатацию.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введением огнетушителя в эксплуатацию он должен быть подвергнут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первоначальной проверке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процессе которой производят внешний осмотр, проверяют комплектацию огнетушителя и состояние места его установки (заметность огнетушителя или указателя места его установки, возможность свободного подхода к нему), а также читаемость и доходчивость инструкции по работе с огнетушителем. В ходе проведения внешнего осмотра необходимо обращать внимание </w:t>
      </w: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93261" w:rsidRPr="00F93261" w:rsidRDefault="00F93261" w:rsidP="00F93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вмятин, сколов, глубоких царапин на корпусе, узлах управления, гайках и головке огнетушителя;</w:t>
      </w:r>
    </w:p>
    <w:p w:rsidR="00F93261" w:rsidRPr="00F93261" w:rsidRDefault="00F93261" w:rsidP="00F93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защитных и лакокрасочных покрытий;</w:t>
      </w:r>
    </w:p>
    <w:p w:rsidR="00F93261" w:rsidRPr="00F93261" w:rsidRDefault="00F93261" w:rsidP="00F93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четкой и понятной инструкции;</w:t>
      </w:r>
    </w:p>
    <w:p w:rsidR="00F93261" w:rsidRPr="00F93261" w:rsidRDefault="00F93261" w:rsidP="00F93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опломбированного предохранительного устройства;</w:t>
      </w:r>
    </w:p>
    <w:p w:rsidR="00F93261" w:rsidRPr="00F93261" w:rsidRDefault="00F93261" w:rsidP="00F93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исправность манометра или индикатора давления (если он предусмотрен конструкцией огнетушителя), наличие необходимого клейма и величину давления в огнетушителе </w:t>
      </w:r>
      <w:proofErr w:type="spell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закачного</w:t>
      </w:r>
      <w:proofErr w:type="spell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 или в газовом баллоне;</w:t>
      </w:r>
    </w:p>
    <w:p w:rsidR="00F93261" w:rsidRPr="00F93261" w:rsidRDefault="00F93261" w:rsidP="00F93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массу огнетушителя, а также массу </w:t>
      </w: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огнетушителе (последнюю определяют расчетным путем);</w:t>
      </w:r>
    </w:p>
    <w:p w:rsidR="00F93261" w:rsidRPr="00F93261" w:rsidRDefault="00F93261" w:rsidP="00F93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состояние гибкого шланга (при его наличии) и распылителя </w:t>
      </w: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(наличие механических повреждений, следов коррозии, литейного </w:t>
      </w:r>
      <w:proofErr w:type="spell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облоя</w:t>
      </w:r>
      <w:proofErr w:type="spell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других предметов, препятствующих свободному выходу ОТВ из огнетушителя);</w:t>
      </w:r>
    </w:p>
    <w:p w:rsidR="00F93261" w:rsidRPr="00F93261" w:rsidRDefault="00F93261" w:rsidP="00F93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проверки делают необходимые отметки в паспорте огнетушителя, ему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присваивают порядковый номер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наносят на огнетушитель и записывают в </w:t>
      </w:r>
      <w:hyperlink r:id="rId7" w:history="1">
        <w:r w:rsidRPr="00F93261">
          <w:rPr>
            <w:rFonts w:ascii="Arial" w:eastAsia="Times New Roman" w:hAnsi="Arial" w:cs="Arial"/>
            <w:color w:val="FF1114"/>
            <w:sz w:val="24"/>
            <w:szCs w:val="24"/>
            <w:u w:val="single"/>
            <w:lang w:eastAsia="ru-RU"/>
          </w:rPr>
          <w:t>журнал учета огнетушителей</w:t>
        </w:r>
      </w:hyperlink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Ежеквартальная проверка.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Ежеквартальная проверка включает в себя осмотр места установки огнетушителя и подходов к нему, а также проведение внешнего осмотра огнетушителя (как при вводе в эксплуатацию).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3.     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Ежегодная проверка.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Ежегодная проверка огнетушителя включает в себя внешний осмотр огнетушителя (как при вводе в эксплуатацию), осмотр места его установки и подходов к нему.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процессе ежегодной проверки контролируют величину утечки вытесняющего газа из газового баллона или </w:t>
      </w: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газового огнетушителя. Производят вскрытие огнетушителей (полное или выборочное), оценку состояния фильтров, проверку параметров </w:t>
      </w: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и, если они не соответствуют требованиям соответствующих нормативных документов, перезарядку огнетушителей.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повышенной пожарной опасности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объекта (помещения </w:t>
      </w:r>
      <w:hyperlink r:id="rId8" w:history="1">
        <w:r w:rsidRPr="00F93261">
          <w:rPr>
            <w:rFonts w:ascii="Arial" w:eastAsia="Times New Roman" w:hAnsi="Arial" w:cs="Arial"/>
            <w:color w:val="FF1114"/>
            <w:sz w:val="24"/>
            <w:szCs w:val="24"/>
            <w:u w:val="single"/>
            <w:lang w:eastAsia="ru-RU"/>
          </w:rPr>
          <w:t>категории А, Б</w:t>
        </w:r>
      </w:hyperlink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или при воздействии на огнетушители таких неблагоприятных факторов, как близкая к предельному значению положительная (свыше 40 ° С) или отрицательная (ниже минус 40 ° С) температура окружающей среды, влажность воздуха более 90 % (при 25 ° С), коррозионно-активная среда, воздействие вибрации и т. д., проверка огнетушителей и контроль </w:t>
      </w: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проводиться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реже одного раза в 6 месяцев.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 ходе проверки обнаружено несоответствие какого-либо параметра огнетушителя требованиям действующих нормативных документов, необходимо 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устранить причины выявленных отклонений параметров и перезарядить огнетушители.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том случае, если величина утечки за год вытесняющего газа или </w:t>
      </w: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газового огнетушителя превышает предельные значения, определенные в п. 5.7 НПБ 155 или п. 5.10 НПБ 156, такие огнетушители должны быть выведены из эксплуатации и отправлены в ремонт и на перезарядку.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4.     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Перезарядка огнетушителей.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реже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одного раза в 5 лет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каждый огнетушитель и баллон с вытесняющим газом должны быть разряжены, корпус огнетушителя полностью очищен от остатков </w:t>
      </w: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произведены внешний и внутренний осмотр, а также гидравлическое испытание на прочность и пневматические испытания на герметичность корпуса огнетушителя, пусковой головки, шланга и запорного устройства.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огнетушители должны перезаряжаться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сразу после применения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или если величина утечки газового </w:t>
      </w: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вытесняющего газа за год превышает допустимое значение.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Порошковые огнетушители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ежегодном техническом осмотре выборочно 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(не менее 3 % от общего количества огнетушителей одной марки) разбирают, и производят проверку основных эксплуатационных параметров огнетушащего порошка (внешний вид, наличие комков или посторонних предметов, сыпучесть при пересыпании рукой, возможность разрушения небольших комков до пылевидного состояния при их падении с высоты 20 см, содержание влаги и дисперсность).</w:t>
      </w:r>
      <w:proofErr w:type="gramEnd"/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случае, если хотя бы по одному из параметров порошок не удовлетворяет требованиям нормативной и технической документации, все огнетушители данной марки подлежат перезарядке.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Порошковые огнетушители, используемые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защиты транспортных средств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должны обязательно проверяться в полном объеме с интервалом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реже одного раза в 12 месяцев.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Порошковые огнетушители, установленные на транспортных средствах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 кабины или салона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подвергающиеся воздействию неблагоприятных климатических и (или) физических факторов, должны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перезаряжаться не реже раза в год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остальные огнетушители, установленные на транспортных средствах,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реже одного раза в два года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 проведенных проверках и испытаниях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делается отметка на огнетушителе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его паспорте и в </w:t>
      </w:r>
      <w:hyperlink r:id="rId9" w:history="1">
        <w:r w:rsidRPr="00F93261">
          <w:rPr>
            <w:rFonts w:ascii="Arial" w:eastAsia="Times New Roman" w:hAnsi="Arial" w:cs="Arial"/>
            <w:color w:val="FF1114"/>
            <w:sz w:val="24"/>
            <w:szCs w:val="24"/>
            <w:u w:val="single"/>
            <w:lang w:eastAsia="ru-RU"/>
          </w:rPr>
          <w:t>журнале учета огнетушителей</w:t>
        </w:r>
      </w:hyperlink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проведенной перезарядке огнетушителя делается соответствующая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отметка на корпусе огнетушителя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 помощи этикетки или бирки, прикрепленной к огнетушителю), а также в его паспорте.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Огнетушители, отправленные с предприятия на перезарядку, должны заменяться соответствующим количеством заряженных огнетушителей (п.471 ППР).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или предприятия, осуществляющие техническое обслуживание огнетушителей, </w:t>
      </w:r>
      <w:r w:rsidRPr="00F93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должны иметь лицензию МЧС России</w:t>
      </w:r>
      <w:r w:rsidRPr="00F93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проведение работ данного вида.</w:t>
      </w:r>
    </w:p>
    <w:p w:rsidR="00F93261" w:rsidRPr="00F93261" w:rsidRDefault="00F93261" w:rsidP="00F9326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C2CE7" w:rsidRDefault="00F93261"/>
    <w:sectPr w:rsidR="005C2CE7" w:rsidSect="001B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60F8"/>
    <w:multiLevelType w:val="multilevel"/>
    <w:tmpl w:val="486A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61"/>
    <w:rsid w:val="0001102B"/>
    <w:rsid w:val="00012D99"/>
    <w:rsid w:val="000271B5"/>
    <w:rsid w:val="000838CE"/>
    <w:rsid w:val="000A76F5"/>
    <w:rsid w:val="000E213A"/>
    <w:rsid w:val="000F3F97"/>
    <w:rsid w:val="00126710"/>
    <w:rsid w:val="00134439"/>
    <w:rsid w:val="001370B1"/>
    <w:rsid w:val="001B5EB4"/>
    <w:rsid w:val="002B4D64"/>
    <w:rsid w:val="00301333"/>
    <w:rsid w:val="003128F9"/>
    <w:rsid w:val="00322521"/>
    <w:rsid w:val="003A3209"/>
    <w:rsid w:val="003B2FE7"/>
    <w:rsid w:val="003D7093"/>
    <w:rsid w:val="004C0963"/>
    <w:rsid w:val="00533A90"/>
    <w:rsid w:val="005571D5"/>
    <w:rsid w:val="00563375"/>
    <w:rsid w:val="00594862"/>
    <w:rsid w:val="005B25ED"/>
    <w:rsid w:val="005D3AEA"/>
    <w:rsid w:val="005D7BC8"/>
    <w:rsid w:val="005E5568"/>
    <w:rsid w:val="005E5743"/>
    <w:rsid w:val="00697B1A"/>
    <w:rsid w:val="00712426"/>
    <w:rsid w:val="00737F82"/>
    <w:rsid w:val="00743628"/>
    <w:rsid w:val="00784CE6"/>
    <w:rsid w:val="00815877"/>
    <w:rsid w:val="00875850"/>
    <w:rsid w:val="008944AA"/>
    <w:rsid w:val="009047AE"/>
    <w:rsid w:val="00904A23"/>
    <w:rsid w:val="009570CD"/>
    <w:rsid w:val="00A40048"/>
    <w:rsid w:val="00C303DF"/>
    <w:rsid w:val="00C43DC8"/>
    <w:rsid w:val="00C53961"/>
    <w:rsid w:val="00CE3CE3"/>
    <w:rsid w:val="00CE6EDD"/>
    <w:rsid w:val="00CF2609"/>
    <w:rsid w:val="00D53EB6"/>
    <w:rsid w:val="00D86813"/>
    <w:rsid w:val="00E7778A"/>
    <w:rsid w:val="00EA3E29"/>
    <w:rsid w:val="00F1186B"/>
    <w:rsid w:val="00F2298D"/>
    <w:rsid w:val="00F26C40"/>
    <w:rsid w:val="00F42035"/>
    <w:rsid w:val="00F9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B4"/>
  </w:style>
  <w:style w:type="paragraph" w:styleId="1">
    <w:name w:val="heading 1"/>
    <w:basedOn w:val="a"/>
    <w:link w:val="10"/>
    <w:uiPriority w:val="9"/>
    <w:qFormat/>
    <w:rsid w:val="00F93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261"/>
    <w:rPr>
      <w:b/>
      <w:bCs/>
    </w:rPr>
  </w:style>
  <w:style w:type="character" w:styleId="a5">
    <w:name w:val="Hyperlink"/>
    <w:basedOn w:val="a0"/>
    <w:uiPriority w:val="99"/>
    <w:semiHidden/>
    <w:unhideWhenUsed/>
    <w:rsid w:val="00F93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eborec.su/raschet-kategor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neborec.su/catalog/info/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neborec.su/poleznoe/otvetstvenniy-za-pozharnuyu-bezopasno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gneborec.su/data/documents/sp=209.13130.200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gneborec.su/catalog/info/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6078</Characters>
  <Application>Microsoft Office Word</Application>
  <DocSecurity>0</DocSecurity>
  <Lines>50</Lines>
  <Paragraphs>14</Paragraphs>
  <ScaleCrop>false</ScaleCrop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</dc:creator>
  <cp:keywords/>
  <dc:description/>
  <cp:lastModifiedBy>U16</cp:lastModifiedBy>
  <cp:revision>3</cp:revision>
  <dcterms:created xsi:type="dcterms:W3CDTF">2017-11-13T09:37:00Z</dcterms:created>
  <dcterms:modified xsi:type="dcterms:W3CDTF">2017-11-13T09:39:00Z</dcterms:modified>
</cp:coreProperties>
</file>